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9" w:rsidRPr="00F75490" w:rsidRDefault="009D3E29" w:rsidP="009D3E29">
      <w:pPr>
        <w:suppressAutoHyphens w:val="0"/>
        <w:autoSpaceDE w:val="0"/>
        <w:autoSpaceDN w:val="0"/>
        <w:adjustRightInd w:val="0"/>
        <w:spacing w:line="276" w:lineRule="auto"/>
        <w:ind w:firstLine="709"/>
        <w:jc w:val="center"/>
        <w:rPr>
          <w:b/>
          <w:sz w:val="28"/>
          <w:szCs w:val="28"/>
          <w:lang w:eastAsia="ru-RU"/>
        </w:rPr>
      </w:pPr>
      <w:r w:rsidRPr="00F75490">
        <w:rPr>
          <w:b/>
          <w:sz w:val="28"/>
          <w:szCs w:val="28"/>
          <w:lang w:eastAsia="ru-RU"/>
        </w:rPr>
        <w:t xml:space="preserve">Как формируются тарифы </w:t>
      </w:r>
      <w:r w:rsidR="003D2A87" w:rsidRPr="00F75490">
        <w:rPr>
          <w:b/>
          <w:sz w:val="28"/>
          <w:szCs w:val="28"/>
          <w:lang w:eastAsia="ru-RU"/>
        </w:rPr>
        <w:t xml:space="preserve">на услуги </w:t>
      </w:r>
      <w:r w:rsidRPr="00F75490">
        <w:rPr>
          <w:b/>
          <w:sz w:val="28"/>
          <w:szCs w:val="28"/>
          <w:lang w:eastAsia="ru-RU"/>
        </w:rPr>
        <w:t>ЖКХ</w:t>
      </w:r>
    </w:p>
    <w:p w:rsidR="009D3E29" w:rsidRPr="00F75490" w:rsidRDefault="009D3E29" w:rsidP="009D3E29">
      <w:pPr>
        <w:suppressAutoHyphens w:val="0"/>
        <w:autoSpaceDE w:val="0"/>
        <w:autoSpaceDN w:val="0"/>
        <w:adjustRightInd w:val="0"/>
        <w:spacing w:line="276" w:lineRule="auto"/>
        <w:ind w:firstLine="709"/>
        <w:jc w:val="center"/>
        <w:rPr>
          <w:b/>
          <w:sz w:val="28"/>
          <w:szCs w:val="28"/>
          <w:lang w:eastAsia="ru-RU"/>
        </w:rPr>
      </w:pPr>
    </w:p>
    <w:p w:rsidR="00B531AC" w:rsidRPr="0066079A" w:rsidRDefault="00B531AC" w:rsidP="00BC290A">
      <w:pPr>
        <w:suppressAutoHyphens w:val="0"/>
        <w:autoSpaceDE w:val="0"/>
        <w:autoSpaceDN w:val="0"/>
        <w:adjustRightInd w:val="0"/>
        <w:spacing w:line="276" w:lineRule="auto"/>
        <w:ind w:firstLine="709"/>
        <w:jc w:val="both"/>
        <w:rPr>
          <w:sz w:val="28"/>
          <w:szCs w:val="28"/>
          <w:lang w:eastAsia="ru-RU"/>
        </w:rPr>
      </w:pPr>
      <w:r w:rsidRPr="00F75490">
        <w:rPr>
          <w:sz w:val="28"/>
          <w:szCs w:val="28"/>
          <w:lang w:eastAsia="ru-RU"/>
        </w:rPr>
        <w:t>В связи с наступлением холодов сумма в квитанциях за услуги ЖКХ заметно повышается. Давайте разберемся, как же рассчитываются тарифы на</w:t>
      </w:r>
      <w:r w:rsidR="003D2A87" w:rsidRPr="00F75490">
        <w:rPr>
          <w:sz w:val="28"/>
          <w:szCs w:val="28"/>
          <w:lang w:eastAsia="ru-RU"/>
        </w:rPr>
        <w:t xml:space="preserve"> </w:t>
      </w:r>
      <w:r w:rsidR="00602032" w:rsidRPr="00F75490">
        <w:rPr>
          <w:sz w:val="28"/>
          <w:szCs w:val="28"/>
          <w:lang w:eastAsia="ru-RU"/>
        </w:rPr>
        <w:t>электроэнергию</w:t>
      </w:r>
      <w:bookmarkStart w:id="0" w:name="_GoBack"/>
      <w:bookmarkEnd w:id="0"/>
      <w:r w:rsidR="003D2A87" w:rsidRPr="00F75490">
        <w:rPr>
          <w:sz w:val="28"/>
          <w:szCs w:val="28"/>
          <w:lang w:eastAsia="ru-RU"/>
        </w:rPr>
        <w:t>,</w:t>
      </w:r>
      <w:r w:rsidRPr="00F75490">
        <w:rPr>
          <w:sz w:val="28"/>
          <w:szCs w:val="28"/>
          <w:lang w:eastAsia="ru-RU"/>
        </w:rPr>
        <w:t xml:space="preserve"> тепловую энергию</w:t>
      </w:r>
      <w:r w:rsidRPr="0066079A">
        <w:rPr>
          <w:sz w:val="28"/>
          <w:szCs w:val="28"/>
          <w:lang w:eastAsia="ru-RU"/>
        </w:rPr>
        <w:t>, воду, водоотведение, обращение с твердыми коммунальными отходами</w:t>
      </w:r>
      <w:r w:rsidR="00D6331B" w:rsidRPr="0066079A">
        <w:rPr>
          <w:sz w:val="28"/>
          <w:szCs w:val="28"/>
          <w:lang w:eastAsia="ru-RU"/>
        </w:rPr>
        <w:t>,</w:t>
      </w:r>
      <w:r w:rsidRPr="0066079A">
        <w:rPr>
          <w:sz w:val="28"/>
          <w:szCs w:val="28"/>
          <w:lang w:eastAsia="ru-RU"/>
        </w:rPr>
        <w:t xml:space="preserve"> за что мы платим свои деньги</w:t>
      </w:r>
      <w:r w:rsidR="00D6331B" w:rsidRPr="0066079A">
        <w:rPr>
          <w:sz w:val="28"/>
          <w:szCs w:val="28"/>
          <w:lang w:eastAsia="ru-RU"/>
        </w:rPr>
        <w:t xml:space="preserve"> и почему в соседних регионах эта плата зачастую меньше, чем у нас</w:t>
      </w:r>
      <w:r w:rsidRPr="0066079A">
        <w:rPr>
          <w:sz w:val="28"/>
          <w:szCs w:val="28"/>
          <w:lang w:eastAsia="ru-RU"/>
        </w:rPr>
        <w:t>.</w:t>
      </w:r>
    </w:p>
    <w:p w:rsidR="007A5414" w:rsidRPr="0066079A" w:rsidRDefault="007A5414" w:rsidP="007A5414">
      <w:pPr>
        <w:suppressAutoHyphens w:val="0"/>
        <w:autoSpaceDE w:val="0"/>
        <w:autoSpaceDN w:val="0"/>
        <w:adjustRightInd w:val="0"/>
        <w:spacing w:line="276" w:lineRule="auto"/>
        <w:ind w:firstLine="709"/>
        <w:jc w:val="both"/>
        <w:rPr>
          <w:sz w:val="28"/>
          <w:szCs w:val="28"/>
          <w:lang w:eastAsia="ru-RU"/>
        </w:rPr>
      </w:pPr>
      <w:r w:rsidRPr="0066079A">
        <w:rPr>
          <w:sz w:val="28"/>
          <w:szCs w:val="28"/>
          <w:lang w:eastAsia="ru-RU"/>
        </w:rPr>
        <w:t xml:space="preserve">Исполнительным органом государственной власти Республики Алтай, созданным с целью осуществления государственного регулирования тарифов (цен) является </w:t>
      </w:r>
      <w:r w:rsidR="00BC290A" w:rsidRPr="0066079A">
        <w:rPr>
          <w:sz w:val="28"/>
          <w:szCs w:val="28"/>
          <w:lang w:eastAsia="ru-RU"/>
        </w:rPr>
        <w:t xml:space="preserve">Комитет </w:t>
      </w:r>
      <w:r w:rsidR="00B83887" w:rsidRPr="0066079A">
        <w:rPr>
          <w:sz w:val="28"/>
          <w:szCs w:val="28"/>
          <w:lang w:eastAsia="ru-RU"/>
        </w:rPr>
        <w:t>по тарифам Республики Алтай</w:t>
      </w:r>
      <w:r w:rsidRPr="0066079A">
        <w:rPr>
          <w:sz w:val="28"/>
          <w:szCs w:val="28"/>
          <w:lang w:eastAsia="ru-RU"/>
        </w:rPr>
        <w:t xml:space="preserve"> (г. Горно-Алта</w:t>
      </w:r>
      <w:r w:rsidR="00D6331B" w:rsidRPr="0066079A">
        <w:rPr>
          <w:sz w:val="28"/>
          <w:szCs w:val="28"/>
          <w:lang w:eastAsia="ru-RU"/>
        </w:rPr>
        <w:t xml:space="preserve">йск, пр. Коммунистический, 182, </w:t>
      </w:r>
      <w:r w:rsidRPr="0066079A">
        <w:rPr>
          <w:sz w:val="28"/>
          <w:szCs w:val="28"/>
          <w:lang w:eastAsia="ru-RU"/>
        </w:rPr>
        <w:t>4 этаж, вход с торца, 404 кабинет, т</w:t>
      </w:r>
      <w:r w:rsidR="00D6331B" w:rsidRPr="0066079A">
        <w:rPr>
          <w:sz w:val="28"/>
          <w:szCs w:val="28"/>
          <w:lang w:eastAsia="ru-RU"/>
        </w:rPr>
        <w:t>елефон/</w:t>
      </w:r>
      <w:r w:rsidRPr="0066079A">
        <w:rPr>
          <w:sz w:val="28"/>
          <w:szCs w:val="28"/>
          <w:lang w:eastAsia="ru-RU"/>
        </w:rPr>
        <w:t>факс: (38822) 6-11-53, 6-42-80, официальный сайт: http://komitet-tarifov.ru/).</w:t>
      </w:r>
    </w:p>
    <w:p w:rsidR="00B83887" w:rsidRPr="0066079A" w:rsidRDefault="007A5414" w:rsidP="007A5414">
      <w:pPr>
        <w:suppressAutoHyphens w:val="0"/>
        <w:autoSpaceDE w:val="0"/>
        <w:autoSpaceDN w:val="0"/>
        <w:adjustRightInd w:val="0"/>
        <w:spacing w:line="276" w:lineRule="auto"/>
        <w:ind w:firstLine="709"/>
        <w:jc w:val="both"/>
        <w:rPr>
          <w:sz w:val="28"/>
          <w:szCs w:val="28"/>
          <w:lang w:eastAsia="ru-RU"/>
        </w:rPr>
      </w:pPr>
      <w:r w:rsidRPr="0066079A">
        <w:rPr>
          <w:sz w:val="28"/>
          <w:szCs w:val="28"/>
          <w:lang w:eastAsia="ru-RU"/>
        </w:rPr>
        <w:t>П</w:t>
      </w:r>
      <w:r w:rsidR="00BC290A" w:rsidRPr="0066079A">
        <w:rPr>
          <w:sz w:val="28"/>
          <w:szCs w:val="28"/>
          <w:lang w:eastAsia="ru-RU"/>
        </w:rPr>
        <w:t>ри расчете тарифов на</w:t>
      </w:r>
      <w:r w:rsidRPr="0066079A">
        <w:rPr>
          <w:sz w:val="28"/>
          <w:szCs w:val="28"/>
          <w:lang w:eastAsia="ru-RU"/>
        </w:rPr>
        <w:t xml:space="preserve"> коммунальные услуги</w:t>
      </w:r>
      <w:r w:rsidR="009D3E29" w:rsidRPr="0066079A">
        <w:rPr>
          <w:sz w:val="28"/>
          <w:szCs w:val="28"/>
          <w:lang w:eastAsia="ru-RU"/>
        </w:rPr>
        <w:t xml:space="preserve"> </w:t>
      </w:r>
      <w:r w:rsidR="003D2A87">
        <w:rPr>
          <w:sz w:val="28"/>
          <w:szCs w:val="28"/>
          <w:lang w:eastAsia="ru-RU"/>
        </w:rPr>
        <w:t>К</w:t>
      </w:r>
      <w:r w:rsidRPr="0066079A">
        <w:rPr>
          <w:sz w:val="28"/>
          <w:szCs w:val="28"/>
          <w:lang w:eastAsia="ru-RU"/>
        </w:rPr>
        <w:t xml:space="preserve">омитет </w:t>
      </w:r>
      <w:r w:rsidR="00BC290A" w:rsidRPr="0066079A">
        <w:rPr>
          <w:sz w:val="28"/>
          <w:szCs w:val="28"/>
          <w:lang w:eastAsia="ru-RU"/>
        </w:rPr>
        <w:t>руководствуется</w:t>
      </w:r>
      <w:r w:rsidR="00B83887" w:rsidRPr="0066079A">
        <w:rPr>
          <w:sz w:val="28"/>
          <w:szCs w:val="28"/>
          <w:lang w:eastAsia="ru-RU"/>
        </w:rPr>
        <w:t xml:space="preserve"> федеральным законодательством</w:t>
      </w:r>
      <w:r w:rsidR="00D6331B" w:rsidRPr="0066079A">
        <w:rPr>
          <w:sz w:val="28"/>
          <w:szCs w:val="28"/>
          <w:lang w:eastAsia="ru-RU"/>
        </w:rPr>
        <w:t>, правилами и методическими указаниями</w:t>
      </w:r>
      <w:r w:rsidR="00B83887" w:rsidRPr="0066079A">
        <w:rPr>
          <w:sz w:val="28"/>
          <w:szCs w:val="28"/>
          <w:lang w:eastAsia="ru-RU"/>
        </w:rPr>
        <w:t>.</w:t>
      </w:r>
    </w:p>
    <w:p w:rsidR="00BC290A" w:rsidRPr="0066079A" w:rsidRDefault="00D6331B" w:rsidP="00BC290A">
      <w:pPr>
        <w:suppressAutoHyphens w:val="0"/>
        <w:autoSpaceDE w:val="0"/>
        <w:autoSpaceDN w:val="0"/>
        <w:adjustRightInd w:val="0"/>
        <w:spacing w:line="276" w:lineRule="auto"/>
        <w:ind w:firstLine="709"/>
        <w:jc w:val="both"/>
        <w:rPr>
          <w:sz w:val="28"/>
          <w:szCs w:val="28"/>
          <w:lang w:eastAsia="ru-RU"/>
        </w:rPr>
      </w:pPr>
      <w:r w:rsidRPr="0066079A">
        <w:rPr>
          <w:sz w:val="28"/>
          <w:szCs w:val="28"/>
          <w:lang w:eastAsia="ru-RU"/>
        </w:rPr>
        <w:t>В соответствии с м</w:t>
      </w:r>
      <w:r w:rsidR="00BC290A" w:rsidRPr="0066079A">
        <w:rPr>
          <w:sz w:val="28"/>
          <w:szCs w:val="28"/>
          <w:lang w:eastAsia="ru-RU"/>
        </w:rPr>
        <w:t>етодически</w:t>
      </w:r>
      <w:r w:rsidR="00891550" w:rsidRPr="0066079A">
        <w:rPr>
          <w:sz w:val="28"/>
          <w:szCs w:val="28"/>
          <w:lang w:eastAsia="ru-RU"/>
        </w:rPr>
        <w:t>ми</w:t>
      </w:r>
      <w:r w:rsidR="00BC290A" w:rsidRPr="0066079A">
        <w:rPr>
          <w:sz w:val="28"/>
          <w:szCs w:val="28"/>
          <w:lang w:eastAsia="ru-RU"/>
        </w:rPr>
        <w:t xml:space="preserve"> указани</w:t>
      </w:r>
      <w:r w:rsidR="00891550" w:rsidRPr="0066079A">
        <w:rPr>
          <w:sz w:val="28"/>
          <w:szCs w:val="28"/>
          <w:lang w:eastAsia="ru-RU"/>
        </w:rPr>
        <w:t>ями</w:t>
      </w:r>
      <w:r w:rsidR="00BC290A" w:rsidRPr="0066079A">
        <w:rPr>
          <w:sz w:val="28"/>
          <w:szCs w:val="28"/>
          <w:lang w:eastAsia="ru-RU"/>
        </w:rPr>
        <w:t>, тарифы рассчитываются на основании необходимой валовой выручки регулируемой организации (</w:t>
      </w:r>
      <w:proofErr w:type="spellStart"/>
      <w:r w:rsidR="00BC290A" w:rsidRPr="0066079A">
        <w:rPr>
          <w:sz w:val="28"/>
          <w:szCs w:val="28"/>
          <w:lang w:eastAsia="ru-RU"/>
        </w:rPr>
        <w:t>ресурсоснабжающей</w:t>
      </w:r>
      <w:proofErr w:type="spellEnd"/>
      <w:r w:rsidR="00BC290A" w:rsidRPr="0066079A">
        <w:rPr>
          <w:sz w:val="28"/>
          <w:szCs w:val="28"/>
          <w:lang w:eastAsia="ru-RU"/>
        </w:rPr>
        <w:t xml:space="preserve">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r w:rsidR="0093005A" w:rsidRPr="0066079A">
        <w:rPr>
          <w:sz w:val="28"/>
          <w:szCs w:val="28"/>
          <w:lang w:eastAsia="ru-RU"/>
        </w:rPr>
        <w:t xml:space="preserve"> Необходимая валовая выручка формируются из экономически обоснованных расходов, необходимых </w:t>
      </w:r>
      <w:r w:rsidR="00463BBA" w:rsidRPr="0066079A">
        <w:rPr>
          <w:sz w:val="28"/>
          <w:szCs w:val="28"/>
          <w:lang w:eastAsia="ru-RU"/>
        </w:rPr>
        <w:t xml:space="preserve">организации </w:t>
      </w:r>
      <w:r w:rsidR="000B755A">
        <w:rPr>
          <w:sz w:val="28"/>
          <w:szCs w:val="28"/>
          <w:lang w:eastAsia="ru-RU"/>
        </w:rPr>
        <w:t xml:space="preserve">для осуществления регулируемой </w:t>
      </w:r>
      <w:r w:rsidR="00463BBA" w:rsidRPr="0066079A">
        <w:rPr>
          <w:sz w:val="28"/>
          <w:szCs w:val="28"/>
          <w:lang w:eastAsia="ru-RU"/>
        </w:rPr>
        <w:t>деятельности (фонд оплаты труда, социальные отчисления, сырье и материалы, затраты на капитальный и текущий ремонт, административные расходы и т.д.)</w:t>
      </w:r>
      <w:r w:rsidR="002D3D79">
        <w:rPr>
          <w:sz w:val="28"/>
          <w:szCs w:val="28"/>
          <w:lang w:eastAsia="ru-RU"/>
        </w:rPr>
        <w:t>.</w:t>
      </w:r>
    </w:p>
    <w:p w:rsidR="00BC290A" w:rsidRPr="0066079A" w:rsidRDefault="00BC290A" w:rsidP="00BC290A">
      <w:pPr>
        <w:suppressAutoHyphens w:val="0"/>
        <w:autoSpaceDE w:val="0"/>
        <w:autoSpaceDN w:val="0"/>
        <w:adjustRightInd w:val="0"/>
        <w:spacing w:line="276" w:lineRule="auto"/>
        <w:ind w:firstLine="709"/>
        <w:jc w:val="both"/>
        <w:rPr>
          <w:sz w:val="28"/>
          <w:szCs w:val="28"/>
        </w:rPr>
      </w:pPr>
      <w:r w:rsidRPr="0066079A">
        <w:rPr>
          <w:sz w:val="28"/>
          <w:szCs w:val="28"/>
        </w:rPr>
        <w:t>На себестоимос</w:t>
      </w:r>
      <w:r w:rsidR="007A5414" w:rsidRPr="0066079A">
        <w:rPr>
          <w:sz w:val="28"/>
          <w:szCs w:val="28"/>
        </w:rPr>
        <w:t>ть</w:t>
      </w:r>
      <w:r w:rsidRPr="0066079A">
        <w:rPr>
          <w:sz w:val="28"/>
          <w:szCs w:val="28"/>
        </w:rPr>
        <w:t xml:space="preserve"> выпускаемой продукции (услуг) влияет множество факторов, в том числе технико-экономические: установленная и фактически используемая мощность используемого оборудования, количество потребителей и их структура потребления, а также структура и протяженность сетевого комплекса. Также существенное влияние оказывает транспортная доступность (наличие железной дороги), природно-климатические условия («</w:t>
      </w:r>
      <w:proofErr w:type="spellStart"/>
      <w:r w:rsidRPr="0066079A">
        <w:rPr>
          <w:sz w:val="28"/>
          <w:szCs w:val="28"/>
        </w:rPr>
        <w:t>горность</w:t>
      </w:r>
      <w:proofErr w:type="spellEnd"/>
      <w:r w:rsidRPr="0066079A">
        <w:rPr>
          <w:sz w:val="28"/>
          <w:szCs w:val="28"/>
        </w:rPr>
        <w:t>»), оплата труда («северные» коэф</w:t>
      </w:r>
      <w:r w:rsidR="00891550" w:rsidRPr="0066079A">
        <w:rPr>
          <w:sz w:val="28"/>
          <w:szCs w:val="28"/>
        </w:rPr>
        <w:t>фициенты). На формирование цены услуги</w:t>
      </w:r>
      <w:r w:rsidRPr="0066079A">
        <w:rPr>
          <w:sz w:val="28"/>
          <w:szCs w:val="28"/>
        </w:rPr>
        <w:t xml:space="preserve"> существенно влияют затраты на энергетические ресурсы, стоимость основных средств, затраты на оплату труда, в связи с большей занимаемой долей в себестоимости (необходимой валовой выручки).</w:t>
      </w:r>
    </w:p>
    <w:p w:rsidR="00BC290A" w:rsidRPr="0066079A" w:rsidRDefault="00BC290A" w:rsidP="00BC290A">
      <w:pPr>
        <w:suppressAutoHyphens w:val="0"/>
        <w:autoSpaceDE w:val="0"/>
        <w:autoSpaceDN w:val="0"/>
        <w:adjustRightInd w:val="0"/>
        <w:spacing w:line="276" w:lineRule="auto"/>
        <w:ind w:firstLine="709"/>
        <w:jc w:val="both"/>
        <w:rPr>
          <w:sz w:val="28"/>
          <w:szCs w:val="28"/>
        </w:rPr>
      </w:pPr>
      <w:r w:rsidRPr="0066079A">
        <w:rPr>
          <w:sz w:val="28"/>
          <w:szCs w:val="28"/>
        </w:rPr>
        <w:t xml:space="preserve">Так, при прочих равных условиях затраты на оплату труда в части применяемых районных коэффициентов в Республике Алтай на 121,7% выше, чем в Алтайском крае, на 116,7% выше, чем в Новосибирской области (Республика Алтай – 1,40, Алтайский край – 1,15, Новосибирская область – 1,20). </w:t>
      </w:r>
    </w:p>
    <w:p w:rsidR="00BC290A" w:rsidRPr="0066079A" w:rsidRDefault="00BC290A" w:rsidP="00BC290A">
      <w:pPr>
        <w:suppressAutoHyphens w:val="0"/>
        <w:autoSpaceDE w:val="0"/>
        <w:autoSpaceDN w:val="0"/>
        <w:adjustRightInd w:val="0"/>
        <w:spacing w:line="276" w:lineRule="auto"/>
        <w:ind w:firstLine="709"/>
        <w:jc w:val="both"/>
        <w:rPr>
          <w:sz w:val="28"/>
          <w:szCs w:val="28"/>
          <w:lang w:eastAsia="ru-RU"/>
        </w:rPr>
      </w:pPr>
      <w:r w:rsidRPr="0066079A">
        <w:rPr>
          <w:sz w:val="28"/>
          <w:szCs w:val="28"/>
        </w:rPr>
        <w:lastRenderedPageBreak/>
        <w:t>Кроме того, учитывая исторически сложившуюся структуру теплоэнергетики Республики Алтай, где преобладают большое количество малой мощности котельных удельные затраты на оплату труда значительно превышают соседние регионы, так как по действующему законодательству сотрудник котельной не имеет право работать более 40 часов в неделю и в штатном расписании должно быть не менее 4 человек с учетом коэффициента сменности. На территории Алтайского края и Новосибирской области, с учетом плотности населения,  находятся котельные с большими мощностями, при этом удельные затраты на оплату труда в общей доле необходимой валовой выручки имеют практически равные показатели с иными статьями затрат составляющих себестоимость продукции (услуг).</w:t>
      </w:r>
    </w:p>
    <w:p w:rsidR="00BC290A" w:rsidRPr="0066079A" w:rsidRDefault="00BC290A" w:rsidP="00BC290A">
      <w:pPr>
        <w:spacing w:line="276" w:lineRule="auto"/>
        <w:ind w:firstLine="709"/>
        <w:jc w:val="both"/>
        <w:rPr>
          <w:sz w:val="28"/>
          <w:szCs w:val="28"/>
        </w:rPr>
      </w:pPr>
      <w:r w:rsidRPr="0066079A">
        <w:rPr>
          <w:sz w:val="28"/>
          <w:szCs w:val="28"/>
        </w:rPr>
        <w:t>Стоимость энергетических ресурсов в 2018 году на территории Республики Алтай</w:t>
      </w:r>
      <w:r w:rsidR="007A5414" w:rsidRPr="0066079A">
        <w:rPr>
          <w:sz w:val="28"/>
          <w:szCs w:val="28"/>
        </w:rPr>
        <w:t xml:space="preserve"> была</w:t>
      </w:r>
      <w:r w:rsidRPr="0066079A">
        <w:rPr>
          <w:sz w:val="28"/>
          <w:szCs w:val="28"/>
        </w:rPr>
        <w:t xml:space="preserve"> на 20-30% выше, чем на территории Алтайского края, и на 15-50% и более выше, чем в Новосибирской области.</w:t>
      </w:r>
    </w:p>
    <w:p w:rsidR="00BC290A" w:rsidRPr="0066079A" w:rsidRDefault="00BC290A" w:rsidP="00BC290A">
      <w:pPr>
        <w:pStyle w:val="a3"/>
        <w:shd w:val="clear" w:color="auto" w:fill="FFFFFF"/>
        <w:spacing w:before="0" w:beforeAutospacing="0" w:after="0" w:afterAutospacing="0" w:line="276" w:lineRule="auto"/>
        <w:ind w:firstLine="708"/>
        <w:jc w:val="both"/>
        <w:rPr>
          <w:sz w:val="28"/>
          <w:szCs w:val="28"/>
        </w:rPr>
      </w:pPr>
      <w:r w:rsidRPr="0066079A">
        <w:rPr>
          <w:sz w:val="28"/>
          <w:szCs w:val="28"/>
        </w:rPr>
        <w:t>В целях ограничения роста платы граждан, на территории Республики Алтай применяется механизм установления льготных тарифов для категории потребителей – население, определение которых осуществляется с применением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года              № 400.</w:t>
      </w:r>
    </w:p>
    <w:p w:rsidR="005748CB" w:rsidRPr="0066079A" w:rsidRDefault="005748CB" w:rsidP="00D6331B">
      <w:pPr>
        <w:suppressAutoHyphens w:val="0"/>
        <w:autoSpaceDE w:val="0"/>
        <w:autoSpaceDN w:val="0"/>
        <w:adjustRightInd w:val="0"/>
        <w:spacing w:line="276" w:lineRule="auto"/>
        <w:ind w:firstLine="567"/>
        <w:jc w:val="both"/>
        <w:rPr>
          <w:sz w:val="28"/>
          <w:szCs w:val="28"/>
        </w:rPr>
      </w:pPr>
      <w:r w:rsidRPr="0066079A">
        <w:rPr>
          <w:sz w:val="28"/>
          <w:szCs w:val="28"/>
        </w:rPr>
        <w:t xml:space="preserve">Расчет тарифов на электрическую энергию для населения регулируется федеральным законодательством и устанавливается Комитетом </w:t>
      </w:r>
      <w:r w:rsidR="00D6331B" w:rsidRPr="0066079A">
        <w:rPr>
          <w:sz w:val="28"/>
          <w:szCs w:val="28"/>
        </w:rPr>
        <w:t>в пределах,</w:t>
      </w:r>
      <w:r w:rsidRPr="0066079A">
        <w:rPr>
          <w:sz w:val="28"/>
          <w:szCs w:val="28"/>
        </w:rPr>
        <w:t xml:space="preserve"> д</w:t>
      </w:r>
      <w:r w:rsidR="00D6331B" w:rsidRPr="0066079A">
        <w:rPr>
          <w:sz w:val="28"/>
          <w:szCs w:val="28"/>
        </w:rPr>
        <w:t>оведенных приказом ФАС России.</w:t>
      </w:r>
    </w:p>
    <w:p w:rsidR="005748CB" w:rsidRPr="0066079A" w:rsidRDefault="005748CB" w:rsidP="005748CB">
      <w:pPr>
        <w:spacing w:line="264" w:lineRule="auto"/>
        <w:ind w:firstLine="567"/>
        <w:jc w:val="both"/>
        <w:rPr>
          <w:sz w:val="28"/>
          <w:szCs w:val="28"/>
          <w:lang w:eastAsia="ru-RU"/>
        </w:rPr>
      </w:pPr>
      <w:r w:rsidRPr="0066079A">
        <w:rPr>
          <w:sz w:val="28"/>
          <w:szCs w:val="28"/>
          <w:lang w:eastAsia="ru-RU"/>
        </w:rPr>
        <w:t>Структура тарифов на электроэнергию для населения и приравненных к н</w:t>
      </w:r>
      <w:r w:rsidR="00D6331B" w:rsidRPr="0066079A">
        <w:rPr>
          <w:sz w:val="28"/>
          <w:szCs w:val="28"/>
          <w:lang w:eastAsia="ru-RU"/>
        </w:rPr>
        <w:t>ему категорий граждан включает:</w:t>
      </w:r>
    </w:p>
    <w:p w:rsidR="005748CB" w:rsidRPr="0066079A" w:rsidRDefault="005748CB" w:rsidP="005748CB">
      <w:pPr>
        <w:spacing w:line="264" w:lineRule="auto"/>
        <w:ind w:firstLine="567"/>
        <w:jc w:val="both"/>
        <w:rPr>
          <w:sz w:val="28"/>
          <w:szCs w:val="28"/>
          <w:lang w:eastAsia="ru-RU"/>
        </w:rPr>
      </w:pPr>
      <w:r w:rsidRPr="0066079A">
        <w:rPr>
          <w:sz w:val="28"/>
          <w:szCs w:val="28"/>
          <w:lang w:eastAsia="ru-RU"/>
        </w:rPr>
        <w:t>- тарифы на передачу электрической энергии по сетям, принадлежащим территориальным сетевым организациям (</w:t>
      </w:r>
      <w:r w:rsidRPr="0066079A">
        <w:rPr>
          <w:color w:val="000000"/>
          <w:sz w:val="28"/>
          <w:szCs w:val="28"/>
        </w:rPr>
        <w:t>затраты на транспортировку электроэнергии от станций до конечного потребителя по распределительным электрическим сетям, а также затраты на ремонт и обслуживание сетей)</w:t>
      </w:r>
      <w:r w:rsidR="002D3D79">
        <w:rPr>
          <w:sz w:val="28"/>
          <w:szCs w:val="28"/>
          <w:lang w:eastAsia="ru-RU"/>
        </w:rPr>
        <w:t>;</w:t>
      </w:r>
    </w:p>
    <w:p w:rsidR="005748CB" w:rsidRPr="0066079A" w:rsidRDefault="005748CB" w:rsidP="009D3E29">
      <w:pPr>
        <w:spacing w:line="264" w:lineRule="auto"/>
        <w:ind w:left="567"/>
        <w:rPr>
          <w:sz w:val="28"/>
          <w:szCs w:val="28"/>
          <w:lang w:eastAsia="ru-RU"/>
        </w:rPr>
      </w:pPr>
      <w:r w:rsidRPr="0066079A">
        <w:rPr>
          <w:sz w:val="28"/>
          <w:szCs w:val="28"/>
          <w:lang w:eastAsia="ru-RU"/>
        </w:rPr>
        <w:t xml:space="preserve">- оптовая цена (индикативная) </w:t>
      </w:r>
      <w:r w:rsidRPr="0066079A">
        <w:rPr>
          <w:color w:val="000000"/>
          <w:sz w:val="28"/>
          <w:szCs w:val="28"/>
        </w:rPr>
        <w:t>за электричество (отпускная цена электростанций, от генератора);</w:t>
      </w:r>
      <w:r w:rsidRPr="0066079A">
        <w:rPr>
          <w:color w:val="000000"/>
          <w:sz w:val="28"/>
          <w:szCs w:val="28"/>
        </w:rPr>
        <w:br/>
      </w:r>
      <w:r w:rsidRPr="0066079A">
        <w:rPr>
          <w:sz w:val="28"/>
          <w:szCs w:val="28"/>
          <w:lang w:eastAsia="ru-RU"/>
        </w:rPr>
        <w:t xml:space="preserve">- сбытовая надбавка гарантирующего поставщика </w:t>
      </w:r>
      <w:r w:rsidRPr="0066079A">
        <w:rPr>
          <w:color w:val="000000"/>
          <w:sz w:val="28"/>
          <w:szCs w:val="28"/>
        </w:rPr>
        <w:t>(затраты на выставление счетов и сбор денег за электричество);</w:t>
      </w:r>
      <w:r w:rsidRPr="0066079A">
        <w:rPr>
          <w:sz w:val="28"/>
          <w:szCs w:val="28"/>
          <w:lang w:eastAsia="ru-RU"/>
        </w:rPr>
        <w:t xml:space="preserve"> </w:t>
      </w:r>
    </w:p>
    <w:p w:rsidR="005748CB" w:rsidRPr="0066079A" w:rsidRDefault="005748CB" w:rsidP="009D3E29">
      <w:pPr>
        <w:spacing w:line="264" w:lineRule="auto"/>
        <w:ind w:left="567"/>
        <w:rPr>
          <w:sz w:val="28"/>
          <w:szCs w:val="28"/>
          <w:lang w:eastAsia="ru-RU"/>
        </w:rPr>
      </w:pPr>
      <w:r w:rsidRPr="0066079A">
        <w:rPr>
          <w:sz w:val="28"/>
          <w:szCs w:val="28"/>
          <w:lang w:eastAsia="ru-RU"/>
        </w:rPr>
        <w:t>- инфраструктурные сборы;</w:t>
      </w:r>
    </w:p>
    <w:p w:rsidR="005748CB" w:rsidRPr="0066079A" w:rsidRDefault="005748CB" w:rsidP="009D3E29">
      <w:pPr>
        <w:spacing w:line="264" w:lineRule="auto"/>
        <w:ind w:left="567"/>
        <w:rPr>
          <w:sz w:val="28"/>
          <w:szCs w:val="28"/>
          <w:lang w:eastAsia="ru-RU"/>
        </w:rPr>
      </w:pPr>
      <w:r w:rsidRPr="0066079A">
        <w:rPr>
          <w:sz w:val="28"/>
          <w:szCs w:val="28"/>
          <w:lang w:eastAsia="ru-RU"/>
        </w:rPr>
        <w:t xml:space="preserve">- налог на добавленную стоимость. </w:t>
      </w:r>
    </w:p>
    <w:p w:rsidR="005748CB" w:rsidRPr="0066079A" w:rsidRDefault="005748CB" w:rsidP="005748CB">
      <w:pPr>
        <w:spacing w:line="264" w:lineRule="auto"/>
        <w:ind w:firstLine="567"/>
        <w:jc w:val="both"/>
        <w:rPr>
          <w:color w:val="000000"/>
          <w:sz w:val="28"/>
          <w:szCs w:val="28"/>
        </w:rPr>
      </w:pPr>
      <w:r w:rsidRPr="0066079A">
        <w:rPr>
          <w:sz w:val="28"/>
          <w:szCs w:val="28"/>
          <w:lang w:eastAsia="ru-RU"/>
        </w:rPr>
        <w:t>П</w:t>
      </w:r>
      <w:r w:rsidRPr="0066079A">
        <w:rPr>
          <w:color w:val="000000"/>
          <w:sz w:val="28"/>
          <w:szCs w:val="28"/>
        </w:rPr>
        <w:t>ересматриваются тарифы ежегодн</w:t>
      </w:r>
      <w:r w:rsidR="00D6331B" w:rsidRPr="0066079A">
        <w:rPr>
          <w:color w:val="000000"/>
          <w:sz w:val="28"/>
          <w:szCs w:val="28"/>
        </w:rPr>
        <w:t>о методом</w:t>
      </w:r>
      <w:r w:rsidRPr="0066079A">
        <w:rPr>
          <w:color w:val="000000"/>
          <w:sz w:val="28"/>
          <w:szCs w:val="28"/>
        </w:rPr>
        <w:t xml:space="preserve"> индексации на уровень инфляции.</w:t>
      </w:r>
    </w:p>
    <w:p w:rsidR="005748CB" w:rsidRPr="0066079A" w:rsidRDefault="005748CB" w:rsidP="00D6331B">
      <w:pPr>
        <w:spacing w:line="264" w:lineRule="auto"/>
        <w:ind w:firstLine="567"/>
        <w:jc w:val="both"/>
        <w:rPr>
          <w:rFonts w:eastAsia="+mj-ea"/>
          <w:bCs/>
          <w:color w:val="000000"/>
          <w:sz w:val="28"/>
          <w:szCs w:val="28"/>
        </w:rPr>
      </w:pPr>
      <w:r w:rsidRPr="0066079A">
        <w:rPr>
          <w:rFonts w:eastAsia="+mj-ea"/>
          <w:bCs/>
          <w:color w:val="000000"/>
          <w:sz w:val="28"/>
          <w:szCs w:val="28"/>
        </w:rPr>
        <w:t xml:space="preserve">Структура тарифов для населения, установленного приказом Комитета по тарифам Республики Алтай от 12.12.2018 года № 49/9 на 2019 год. Для категории потребителей население и приравненных к нему категориям потребителей в сельской местности, а </w:t>
      </w:r>
      <w:r w:rsidR="00D6331B" w:rsidRPr="0066079A">
        <w:rPr>
          <w:rFonts w:eastAsia="+mj-ea"/>
          <w:bCs/>
          <w:color w:val="000000"/>
          <w:sz w:val="28"/>
          <w:szCs w:val="28"/>
        </w:rPr>
        <w:t>также</w:t>
      </w:r>
      <w:r w:rsidRPr="0066079A">
        <w:rPr>
          <w:rFonts w:eastAsia="+mj-ea"/>
          <w:bCs/>
          <w:color w:val="000000"/>
          <w:sz w:val="28"/>
          <w:szCs w:val="28"/>
        </w:rPr>
        <w:t xml:space="preserve">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9D3E29" w:rsidRPr="0066079A" w:rsidRDefault="009D3E29" w:rsidP="00D6331B">
      <w:pPr>
        <w:spacing w:line="264" w:lineRule="auto"/>
        <w:ind w:firstLine="567"/>
        <w:jc w:val="both"/>
        <w:rPr>
          <w:rFonts w:eastAsia="+mj-ea"/>
          <w:bCs/>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5748CB" w:rsidRPr="0066079A" w:rsidTr="005748CB">
        <w:tc>
          <w:tcPr>
            <w:tcW w:w="4800" w:type="dxa"/>
          </w:tcPr>
          <w:p w:rsidR="005748CB" w:rsidRPr="0066079A" w:rsidRDefault="005748CB" w:rsidP="00B01B56">
            <w:pPr>
              <w:spacing w:line="264" w:lineRule="auto"/>
              <w:jc w:val="center"/>
              <w:rPr>
                <w:b/>
                <w:color w:val="7030A0"/>
                <w:sz w:val="28"/>
                <w:szCs w:val="28"/>
              </w:rPr>
            </w:pPr>
            <w:r w:rsidRPr="0066079A">
              <w:rPr>
                <w:b/>
                <w:color w:val="7030A0"/>
                <w:sz w:val="28"/>
                <w:szCs w:val="28"/>
              </w:rPr>
              <w:t>1 полугодие 2019 года</w:t>
            </w:r>
          </w:p>
        </w:tc>
        <w:tc>
          <w:tcPr>
            <w:tcW w:w="4771" w:type="dxa"/>
          </w:tcPr>
          <w:p w:rsidR="005748CB" w:rsidRPr="0066079A" w:rsidRDefault="005748CB" w:rsidP="00B01B56">
            <w:pPr>
              <w:spacing w:line="264" w:lineRule="auto"/>
              <w:jc w:val="center"/>
              <w:rPr>
                <w:b/>
                <w:color w:val="7030A0"/>
                <w:sz w:val="28"/>
                <w:szCs w:val="28"/>
              </w:rPr>
            </w:pPr>
            <w:r w:rsidRPr="0066079A">
              <w:rPr>
                <w:b/>
                <w:color w:val="7030A0"/>
                <w:sz w:val="28"/>
                <w:szCs w:val="28"/>
              </w:rPr>
              <w:t>2 полугодие 2019 года</w:t>
            </w:r>
          </w:p>
        </w:tc>
      </w:tr>
      <w:tr w:rsidR="005748CB" w:rsidRPr="0066079A" w:rsidTr="0057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nil"/>
              <w:right w:val="nil"/>
            </w:tcBorders>
          </w:tcPr>
          <w:p w:rsidR="005748CB" w:rsidRPr="0066079A" w:rsidRDefault="005748CB" w:rsidP="00B01B56">
            <w:pPr>
              <w:spacing w:line="264" w:lineRule="auto"/>
              <w:jc w:val="both"/>
              <w:rPr>
                <w:color w:val="000000"/>
                <w:sz w:val="28"/>
                <w:szCs w:val="28"/>
              </w:rPr>
            </w:pPr>
            <w:r w:rsidRPr="0066079A">
              <w:rPr>
                <w:noProof/>
                <w:color w:val="000000"/>
                <w:sz w:val="28"/>
                <w:szCs w:val="28"/>
                <w:lang w:eastAsia="ru-RU"/>
              </w:rPr>
              <w:drawing>
                <wp:inline distT="0" distB="0" distL="0" distR="0">
                  <wp:extent cx="3019425" cy="2590800"/>
                  <wp:effectExtent l="19050" t="0" r="95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c>
          <w:tcPr>
            <w:tcW w:w="4771" w:type="dxa"/>
            <w:tcBorders>
              <w:top w:val="nil"/>
              <w:left w:val="nil"/>
              <w:bottom w:val="nil"/>
              <w:right w:val="nil"/>
            </w:tcBorders>
          </w:tcPr>
          <w:p w:rsidR="005748CB" w:rsidRPr="0066079A" w:rsidRDefault="005748CB" w:rsidP="00B01B56">
            <w:pPr>
              <w:spacing w:line="264" w:lineRule="auto"/>
              <w:jc w:val="both"/>
              <w:rPr>
                <w:color w:val="000000"/>
                <w:sz w:val="28"/>
                <w:szCs w:val="28"/>
              </w:rPr>
            </w:pPr>
            <w:r w:rsidRPr="0066079A">
              <w:rPr>
                <w:noProof/>
                <w:color w:val="000000"/>
                <w:sz w:val="28"/>
                <w:szCs w:val="28"/>
                <w:lang w:eastAsia="ru-RU"/>
              </w:rPr>
              <w:drawing>
                <wp:inline distT="0" distB="0" distL="0" distR="0">
                  <wp:extent cx="2992983" cy="2593075"/>
                  <wp:effectExtent l="19050" t="0" r="16917"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9D3E29" w:rsidRPr="0066079A" w:rsidRDefault="009D3E29" w:rsidP="009D3E29">
      <w:pPr>
        <w:ind w:firstLine="708"/>
        <w:jc w:val="both"/>
        <w:rPr>
          <w:sz w:val="28"/>
          <w:szCs w:val="28"/>
        </w:rPr>
      </w:pPr>
    </w:p>
    <w:p w:rsidR="009D3E29" w:rsidRPr="0066079A" w:rsidRDefault="00D6331B" w:rsidP="009D3E29">
      <w:pPr>
        <w:ind w:firstLine="708"/>
        <w:jc w:val="both"/>
        <w:rPr>
          <w:sz w:val="28"/>
          <w:szCs w:val="28"/>
        </w:rPr>
      </w:pPr>
      <w:r w:rsidRPr="0066079A">
        <w:rPr>
          <w:sz w:val="28"/>
          <w:szCs w:val="28"/>
        </w:rPr>
        <w:t>Как мы видим факторов, влияющих на ценообразование тарифов очень много</w:t>
      </w:r>
      <w:r w:rsidR="009D3E29" w:rsidRPr="0066079A">
        <w:rPr>
          <w:sz w:val="28"/>
          <w:szCs w:val="28"/>
        </w:rPr>
        <w:t xml:space="preserve">, тарифы рассчитываются строго в соответствии с применением нормативно-правовых актов – правил и методических указаний. </w:t>
      </w:r>
    </w:p>
    <w:p w:rsidR="00D6331B" w:rsidRPr="009D3E29" w:rsidRDefault="009D3E29" w:rsidP="009D3E29">
      <w:pPr>
        <w:ind w:firstLine="708"/>
        <w:jc w:val="both"/>
        <w:rPr>
          <w:sz w:val="28"/>
          <w:szCs w:val="28"/>
        </w:rPr>
      </w:pPr>
      <w:r w:rsidRPr="0066079A">
        <w:rPr>
          <w:sz w:val="28"/>
          <w:szCs w:val="28"/>
        </w:rPr>
        <w:t xml:space="preserve">Если у вас возникли вопросы по </w:t>
      </w:r>
      <w:proofErr w:type="spellStart"/>
      <w:r w:rsidRPr="0066079A">
        <w:rPr>
          <w:sz w:val="28"/>
          <w:szCs w:val="28"/>
        </w:rPr>
        <w:t>тарифообразованию</w:t>
      </w:r>
      <w:proofErr w:type="spellEnd"/>
      <w:r w:rsidRPr="0066079A">
        <w:rPr>
          <w:sz w:val="28"/>
          <w:szCs w:val="28"/>
        </w:rPr>
        <w:t>, то вы всегда можете обратиться по телефону</w:t>
      </w:r>
      <w:r w:rsidR="003D2A87">
        <w:rPr>
          <w:sz w:val="28"/>
          <w:szCs w:val="28"/>
        </w:rPr>
        <w:t>: 8(38822) 6</w:t>
      </w:r>
      <w:r w:rsidR="002D3D79">
        <w:rPr>
          <w:sz w:val="28"/>
          <w:szCs w:val="28"/>
        </w:rPr>
        <w:t>-</w:t>
      </w:r>
      <w:r w:rsidR="003D2A87">
        <w:rPr>
          <w:sz w:val="28"/>
          <w:szCs w:val="28"/>
        </w:rPr>
        <w:t>11</w:t>
      </w:r>
      <w:r w:rsidR="002D3D79">
        <w:rPr>
          <w:sz w:val="28"/>
          <w:szCs w:val="28"/>
        </w:rPr>
        <w:t>-</w:t>
      </w:r>
      <w:r w:rsidR="003D2A87">
        <w:rPr>
          <w:sz w:val="28"/>
          <w:szCs w:val="28"/>
        </w:rPr>
        <w:t>53</w:t>
      </w:r>
      <w:r w:rsidR="002D3D79">
        <w:rPr>
          <w:sz w:val="28"/>
          <w:szCs w:val="28"/>
        </w:rPr>
        <w:t>.</w:t>
      </w:r>
    </w:p>
    <w:sectPr w:rsidR="00D6331B" w:rsidRPr="009D3E29" w:rsidSect="008D6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A"/>
    <w:rsid w:val="0006243C"/>
    <w:rsid w:val="00062A02"/>
    <w:rsid w:val="000B755A"/>
    <w:rsid w:val="001857D3"/>
    <w:rsid w:val="001D6FC2"/>
    <w:rsid w:val="002D3D79"/>
    <w:rsid w:val="003D2A87"/>
    <w:rsid w:val="00440B34"/>
    <w:rsid w:val="00463BBA"/>
    <w:rsid w:val="005748CB"/>
    <w:rsid w:val="00602032"/>
    <w:rsid w:val="0066079A"/>
    <w:rsid w:val="00680D60"/>
    <w:rsid w:val="007239BA"/>
    <w:rsid w:val="007A5414"/>
    <w:rsid w:val="00891550"/>
    <w:rsid w:val="008D66D3"/>
    <w:rsid w:val="0093005A"/>
    <w:rsid w:val="00953451"/>
    <w:rsid w:val="00991C21"/>
    <w:rsid w:val="009D3E29"/>
    <w:rsid w:val="00B01B56"/>
    <w:rsid w:val="00B531AC"/>
    <w:rsid w:val="00B83887"/>
    <w:rsid w:val="00BC290A"/>
    <w:rsid w:val="00CF4474"/>
    <w:rsid w:val="00D6331B"/>
    <w:rsid w:val="00F7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CEAC1-0EDB-4E6D-9A1C-AD676246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0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90A"/>
    <w:pPr>
      <w:suppressAutoHyphens w:val="0"/>
      <w:spacing w:before="100" w:beforeAutospacing="1" w:after="100" w:afterAutospacing="1"/>
    </w:pPr>
    <w:rPr>
      <w:sz w:val="24"/>
      <w:szCs w:val="24"/>
      <w:lang w:eastAsia="ru-RU"/>
    </w:rPr>
  </w:style>
  <w:style w:type="table" w:styleId="a4">
    <w:name w:val="Table Grid"/>
    <w:basedOn w:val="a1"/>
    <w:uiPriority w:val="59"/>
    <w:rsid w:val="0057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B56"/>
    <w:rPr>
      <w:rFonts w:ascii="Tahoma" w:hAnsi="Tahoma" w:cs="Tahoma"/>
      <w:sz w:val="16"/>
      <w:szCs w:val="16"/>
    </w:rPr>
  </w:style>
  <w:style w:type="character" w:customStyle="1" w:styleId="a6">
    <w:name w:val="Текст выноски Знак"/>
    <w:basedOn w:val="a0"/>
    <w:link w:val="a5"/>
    <w:uiPriority w:val="99"/>
    <w:semiHidden/>
    <w:rsid w:val="00B01B5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086;&#1073;&#1097;&#1072;&#1103;%20&#1076;&#1083;&#1103;%20&#1074;&#1089;&#1077;&#1093;\&#1046;&#1091;&#1082;&#1086;&#1074;&#1072;\&#1086;&#1090;%20&#1044;&#1080;&#1103;&#1090;&#1086;&#1074;&#1086;&#108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086;&#1073;&#1097;&#1072;&#1103;%20&#1076;&#1083;&#1103;%20&#1074;&#1089;&#1077;&#1093;\&#1046;&#1091;&#1082;&#1086;&#1074;&#1072;\&#1086;&#1090;%20&#1044;&#1080;&#1103;&#1090;&#1086;&#1074;&#1086;&#1081;\&#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3,60 руб./кВт.ч с НДС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[1]Лист1!$H$25:$H$29</c:f>
              <c:strCache>
                <c:ptCount val="5"/>
                <c:pt idx="0">
                  <c:v>Сбытовая надбавка</c:v>
                </c:pt>
                <c:pt idx="1">
                  <c:v>Тариф на передачу</c:v>
                </c:pt>
                <c:pt idx="2">
                  <c:v>Индикативная цена</c:v>
                </c:pt>
                <c:pt idx="3">
                  <c:v>Прочие платежи</c:v>
                </c:pt>
                <c:pt idx="4">
                  <c:v>НДС</c:v>
                </c:pt>
              </c:strCache>
            </c:strRef>
          </c:cat>
          <c:val>
            <c:numRef>
              <c:f>[1]Лист1!$I$25:$I$29</c:f>
              <c:numCache>
                <c:formatCode>General</c:formatCode>
                <c:ptCount val="5"/>
                <c:pt idx="0">
                  <c:v>0.31200000000000017</c:v>
                </c:pt>
                <c:pt idx="1">
                  <c:v>2.02</c:v>
                </c:pt>
                <c:pt idx="2">
                  <c:v>0.66400000000000048</c:v>
                </c:pt>
                <c:pt idx="3">
                  <c:v>3.0000000000000014E-3</c:v>
                </c:pt>
                <c:pt idx="4">
                  <c:v>0.60000000000000031</c:v>
                </c:pt>
              </c:numCache>
            </c:numRef>
          </c:val>
          <c:extLst>
            <c:ext xmlns:c16="http://schemas.microsoft.com/office/drawing/2014/chart" uri="{C3380CC4-5D6E-409C-BE32-E72D297353CC}">
              <c16:uniqueId val="{00000000-83CC-45D2-B0A9-ED4F40D3BD74}"/>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3,76 руб./кВт.ч с НДС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[1]Лист1!$H$19:$H$23</c:f>
              <c:strCache>
                <c:ptCount val="5"/>
                <c:pt idx="0">
                  <c:v>Сбытовая надбавка</c:v>
                </c:pt>
                <c:pt idx="1">
                  <c:v>Тариф на передачу</c:v>
                </c:pt>
                <c:pt idx="2">
                  <c:v>Индикативная цена</c:v>
                </c:pt>
                <c:pt idx="3">
                  <c:v>Прочие платежи</c:v>
                </c:pt>
                <c:pt idx="4">
                  <c:v>НДС</c:v>
                </c:pt>
              </c:strCache>
            </c:strRef>
          </c:cat>
          <c:val>
            <c:numRef>
              <c:f>[1]Лист1!$I$19:$I$23</c:f>
              <c:numCache>
                <c:formatCode>General</c:formatCode>
                <c:ptCount val="5"/>
                <c:pt idx="0">
                  <c:v>0.30400000000000021</c:v>
                </c:pt>
                <c:pt idx="1">
                  <c:v>2.12</c:v>
                </c:pt>
                <c:pt idx="2">
                  <c:v>0.70700000000000029</c:v>
                </c:pt>
                <c:pt idx="3">
                  <c:v>3.0000000000000014E-3</c:v>
                </c:pt>
                <c:pt idx="4">
                  <c:v>0.63000000000000034</c:v>
                </c:pt>
              </c:numCache>
            </c:numRef>
          </c:val>
          <c:extLst>
            <c:ext xmlns:c16="http://schemas.microsoft.com/office/drawing/2014/chart" uri="{C3380CC4-5D6E-409C-BE32-E72D297353CC}">
              <c16:uniqueId val="{00000000-1892-4B61-B520-80F264F1AA0D}"/>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Винокуров</cp:lastModifiedBy>
  <cp:revision>5</cp:revision>
  <cp:lastPrinted>2019-11-26T05:52:00Z</cp:lastPrinted>
  <dcterms:created xsi:type="dcterms:W3CDTF">2019-11-26T02:19:00Z</dcterms:created>
  <dcterms:modified xsi:type="dcterms:W3CDTF">2019-11-27T04:01:00Z</dcterms:modified>
</cp:coreProperties>
</file>